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BA76" w14:textId="77777777" w:rsidR="00415FE6" w:rsidRPr="006D05B2" w:rsidRDefault="00365C9E" w:rsidP="006D05B2">
      <w:pPr>
        <w:pStyle w:val="Ttulo1"/>
      </w:pPr>
      <w:r w:rsidRPr="006D05B2">
        <w:t>Plantilla · Registro de revisión y decisiones de requisitos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50"/>
        <w:gridCol w:w="3450"/>
        <w:gridCol w:w="3450"/>
        <w:gridCol w:w="3450"/>
      </w:tblGrid>
      <w:tr w:rsidR="00415FE6" w:rsidRPr="006D05B2" w14:paraId="6D1188A2" w14:textId="77777777" w:rsidTr="00E662E0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C12BB7" w14:textId="77777777" w:rsidR="00415FE6" w:rsidRPr="006D05B2" w:rsidRDefault="00365C9E">
            <w:r w:rsidRPr="006D05B2">
              <w:t>Código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B6E638" w14:textId="125BF83D" w:rsidR="00415FE6" w:rsidRPr="006D05B2" w:rsidRDefault="00C0276B">
            <w:r>
              <w:t>FT-SW</w:t>
            </w:r>
            <w:r w:rsidR="00E07FCA">
              <w:t>-RR</w:t>
            </w:r>
            <w:r w:rsidR="00292B07">
              <w:t>-AD</w:t>
            </w:r>
            <w:r w:rsidR="00F53758">
              <w:t>-C6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AACAE9" w14:textId="77777777" w:rsidR="00415FE6" w:rsidRPr="006D05B2" w:rsidRDefault="00365C9E">
            <w:r w:rsidRPr="006D05B2">
              <w:t>Proyecto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371AF2" w14:textId="77777777" w:rsidR="00415FE6" w:rsidRPr="006D05B2" w:rsidRDefault="00365C9E">
            <w:r w:rsidRPr="006D05B2">
              <w:t>ADAS</w:t>
            </w:r>
          </w:p>
        </w:tc>
      </w:tr>
      <w:tr w:rsidR="00415FE6" w:rsidRPr="006D05B2" w14:paraId="17B742D9" w14:textId="77777777" w:rsidTr="00E662E0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B39D12" w14:textId="77777777" w:rsidR="00415FE6" w:rsidRPr="006D05B2" w:rsidRDefault="00365C9E">
            <w:r w:rsidRPr="006D05B2">
              <w:t>Versión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9D9CE0" w14:textId="79062077" w:rsidR="00415FE6" w:rsidRPr="006D05B2" w:rsidRDefault="000A1581">
            <w:r>
              <w:t>1.0</w:t>
            </w:r>
            <w:r w:rsidR="001930C3">
              <w:t>.0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97EEF9" w14:textId="77777777" w:rsidR="00415FE6" w:rsidRPr="006D05B2" w:rsidRDefault="00365C9E">
            <w:r w:rsidRPr="006D05B2">
              <w:t>Estado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B7D01A" w14:textId="7E32068B" w:rsidR="00415FE6" w:rsidRPr="006D05B2" w:rsidRDefault="00365C9E">
            <w:r w:rsidRPr="006D05B2">
              <w:t>Aprobado</w:t>
            </w:r>
          </w:p>
        </w:tc>
      </w:tr>
      <w:tr w:rsidR="00E90445" w:rsidRPr="006D05B2" w14:paraId="46B58DAC" w14:textId="77777777" w:rsidTr="00E662E0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F351B0" w14:textId="38036889" w:rsidR="00E90445" w:rsidRPr="006D05B2" w:rsidRDefault="00E90445">
            <w:r>
              <w:t>Fecha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91806A" w14:textId="6F6416A6" w:rsidR="00E90445" w:rsidRDefault="00FA00E7">
            <w:r>
              <w:t>29/10/2025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F8342E" w14:textId="77777777" w:rsidR="00E90445" w:rsidRPr="006D05B2" w:rsidRDefault="00E90445"/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F6A21A" w14:textId="77777777" w:rsidR="00E90445" w:rsidRPr="006D05B2" w:rsidRDefault="00E90445"/>
        </w:tc>
      </w:tr>
    </w:tbl>
    <w:p w14:paraId="6C8C4AA8" w14:textId="77777777" w:rsidR="00415FE6" w:rsidRPr="006D05B2" w:rsidRDefault="00415FE6"/>
    <w:p w14:paraId="5D190857" w14:textId="77777777" w:rsidR="00415FE6" w:rsidRPr="006D05B2" w:rsidRDefault="00365C9E">
      <w:r w:rsidRPr="006D05B2">
        <w:rPr>
          <w:i/>
          <w:color w:val="505050"/>
        </w:rPr>
        <w:t>Uso: registrar revisiones, observaciones, decisiones, excepciones y baseline vigente de UR/PRD, SRS y requisitos de seguridad.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99"/>
        <w:gridCol w:w="1096"/>
        <w:gridCol w:w="681"/>
        <w:gridCol w:w="2537"/>
        <w:gridCol w:w="2381"/>
        <w:gridCol w:w="847"/>
        <w:gridCol w:w="2213"/>
        <w:gridCol w:w="1213"/>
        <w:gridCol w:w="938"/>
        <w:gridCol w:w="875"/>
      </w:tblGrid>
      <w:tr w:rsidR="00415FE6" w:rsidRPr="00BF7C8B" w14:paraId="3D3F87A3" w14:textId="77777777" w:rsidTr="00E662E0">
        <w:trPr>
          <w:tblHeader/>
        </w:trPr>
        <w:tc>
          <w:tcPr>
            <w:tcW w:w="1199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61CE72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Artefacto / ID</w:t>
            </w:r>
          </w:p>
        </w:tc>
        <w:tc>
          <w:tcPr>
            <w:tcW w:w="1096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39A0E9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Tipo</w:t>
            </w:r>
          </w:p>
        </w:tc>
        <w:tc>
          <w:tcPr>
            <w:tcW w:w="681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DEFF02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Versión</w:t>
            </w:r>
          </w:p>
        </w:tc>
        <w:tc>
          <w:tcPr>
            <w:tcW w:w="2537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E9CCEF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Criterios revisados</w:t>
            </w:r>
          </w:p>
        </w:tc>
        <w:tc>
          <w:tcPr>
            <w:tcW w:w="2381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67EB88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Observaciones / acciones</w:t>
            </w:r>
          </w:p>
        </w:tc>
        <w:tc>
          <w:tcPr>
            <w:tcW w:w="847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C379E0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Decisión</w:t>
            </w:r>
          </w:p>
        </w:tc>
        <w:tc>
          <w:tcPr>
            <w:tcW w:w="2213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276C6D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Impacto (diseño / verificación / riesgo / release)</w:t>
            </w:r>
          </w:p>
        </w:tc>
        <w:tc>
          <w:tcPr>
            <w:tcW w:w="1213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777A93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Revisores</w:t>
            </w:r>
          </w:p>
        </w:tc>
        <w:tc>
          <w:tcPr>
            <w:tcW w:w="938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A61F50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Fecha</w:t>
            </w:r>
          </w:p>
        </w:tc>
        <w:tc>
          <w:tcPr>
            <w:tcW w:w="875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0C0598" w14:textId="77777777" w:rsidR="00415FE6" w:rsidRPr="0076362A" w:rsidRDefault="00365C9E">
            <w:pPr>
              <w:rPr>
                <w:b/>
                <w:bCs/>
                <w:sz w:val="14"/>
                <w:szCs w:val="14"/>
              </w:rPr>
            </w:pPr>
            <w:r w:rsidRPr="0076362A">
              <w:rPr>
                <w:b/>
                <w:bCs/>
                <w:sz w:val="14"/>
                <w:szCs w:val="14"/>
              </w:rPr>
              <w:t>Referencia baseline</w:t>
            </w:r>
          </w:p>
        </w:tc>
      </w:tr>
      <w:tr w:rsidR="00A34727" w:rsidRPr="00BF7C8B" w14:paraId="604ECF42" w14:textId="77777777" w:rsidTr="00E662E0">
        <w:tc>
          <w:tcPr>
            <w:tcW w:w="119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4355E0" w14:textId="00BF51D8" w:rsidR="00A34727" w:rsidRPr="00BF7C8B" w:rsidRDefault="00A34727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FT-SW-001</w:t>
            </w:r>
          </w:p>
        </w:tc>
        <w:tc>
          <w:tcPr>
            <w:tcW w:w="10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424E2A" w14:textId="72D86941" w:rsidR="00A34727" w:rsidRPr="00BF7C8B" w:rsidRDefault="000E6F10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Organización / RACI</w:t>
            </w:r>
          </w:p>
        </w:tc>
        <w:tc>
          <w:tcPr>
            <w:tcW w:w="6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BD684B" w14:textId="261FE320" w:rsidR="00A34727" w:rsidRPr="00BF7C8B" w:rsidRDefault="00A34727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0.1</w:t>
            </w:r>
          </w:p>
        </w:tc>
        <w:tc>
          <w:tcPr>
            <w:tcW w:w="253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56C037" w14:textId="3600E8B1" w:rsidR="00A34727" w:rsidRPr="00BF7C8B" w:rsidRDefault="00AA7B75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- Definición de roles del ciclo de vida</w:t>
            </w:r>
            <w:r w:rsidRPr="00BF7C8B">
              <w:rPr>
                <w:sz w:val="14"/>
                <w:szCs w:val="14"/>
              </w:rPr>
              <w:br/>
              <w:t>- Asignación nominal vigente</w:t>
            </w:r>
            <w:r w:rsidRPr="00BF7C8B">
              <w:rPr>
                <w:sz w:val="14"/>
                <w:szCs w:val="14"/>
              </w:rPr>
              <w:br/>
              <w:t>- Independencia de funciones (RACI)</w:t>
            </w:r>
            <w:r w:rsidRPr="00BF7C8B">
              <w:rPr>
                <w:sz w:val="14"/>
                <w:szCs w:val="14"/>
              </w:rPr>
              <w:br/>
              <w:t>- Separación entre desarrollo, QA y RA</w:t>
            </w: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18D5F2" w14:textId="19F79DDE" w:rsidR="00A34727" w:rsidRPr="00BF7C8B" w:rsidRDefault="00936EE1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Se valida la correcta asignación de roles y responsabilidades según IEC 62304. Se confirma independencia entre implementación (DEV), verificación (QA) y aprobación (QA/RA).</w:t>
            </w:r>
          </w:p>
        </w:tc>
        <w:tc>
          <w:tcPr>
            <w:tcW w:w="8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D48831" w14:textId="2850195A" w:rsidR="00A34727" w:rsidRPr="00BF7C8B" w:rsidRDefault="00936EE1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Aprobado</w:t>
            </w:r>
          </w:p>
        </w:tc>
        <w:tc>
          <w:tcPr>
            <w:tcW w:w="2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79B390" w14:textId="126C6358" w:rsidR="00A34727" w:rsidRPr="00BF7C8B" w:rsidRDefault="00301FE0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Impacto organizativo: asegura segregación de funciones y cumplimiento del SGC. No impacto en diseño ni riesgo clínico.</w:t>
            </w:r>
          </w:p>
        </w:tc>
        <w:tc>
          <w:tcPr>
            <w:tcW w:w="1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EA8D80" w14:textId="41DA27E3" w:rsidR="00A34727" w:rsidRPr="00BF7C8B" w:rsidRDefault="00A34727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Gerardo Roger, Fernando Igual, Julián Rojas</w:t>
            </w:r>
          </w:p>
        </w:tc>
        <w:tc>
          <w:tcPr>
            <w:tcW w:w="9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4360CF" w14:textId="67F82CA4" w:rsidR="00A34727" w:rsidRPr="00BF7C8B" w:rsidRDefault="00DC7998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19/01/2026</w:t>
            </w:r>
          </w:p>
        </w:tc>
        <w:tc>
          <w:tcPr>
            <w:tcW w:w="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E5C1F6" w14:textId="35883D16" w:rsidR="00A34727" w:rsidRPr="00BF7C8B" w:rsidRDefault="00A34727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1.0</w:t>
            </w:r>
          </w:p>
        </w:tc>
      </w:tr>
      <w:tr w:rsidR="00A34727" w:rsidRPr="00BF7C8B" w14:paraId="17BA5E50" w14:textId="77777777" w:rsidTr="00E662E0">
        <w:tc>
          <w:tcPr>
            <w:tcW w:w="119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720F76" w14:textId="3CD93EE2" w:rsidR="00A34727" w:rsidRPr="00BF7C8B" w:rsidRDefault="00444309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FT-SW-002</w:t>
            </w:r>
          </w:p>
        </w:tc>
        <w:tc>
          <w:tcPr>
            <w:tcW w:w="10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C7FEB5" w14:textId="12EF56BE" w:rsidR="00A34727" w:rsidRPr="00BF7C8B" w:rsidRDefault="00DB22F4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Organización / Roles / Competencias</w:t>
            </w:r>
          </w:p>
        </w:tc>
        <w:tc>
          <w:tcPr>
            <w:tcW w:w="6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831B40" w14:textId="454603D0" w:rsidR="00A34727" w:rsidRPr="00BF7C8B" w:rsidRDefault="00DB22F4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0.1</w:t>
            </w:r>
          </w:p>
        </w:tc>
        <w:tc>
          <w:tcPr>
            <w:tcW w:w="253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B95A9D" w14:textId="48E74ABE" w:rsidR="00A34727" w:rsidRPr="00BF7C8B" w:rsidRDefault="00DB22F4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- Definición del propósito de cada rol</w:t>
            </w:r>
            <w:r w:rsidRPr="00BF7C8B">
              <w:rPr>
                <w:sz w:val="14"/>
                <w:szCs w:val="14"/>
              </w:rPr>
              <w:br/>
              <w:t>- Responsabilidades y límites por fase (requisitos, diseño, implementación, verificación, release)</w:t>
            </w:r>
            <w:r w:rsidRPr="00BF7C8B">
              <w:rPr>
                <w:sz w:val="14"/>
                <w:szCs w:val="14"/>
              </w:rPr>
              <w:br/>
              <w:t>- Independencia de roles (no autoaprobación)</w:t>
            </w:r>
            <w:r w:rsidRPr="00BF7C8B">
              <w:rPr>
                <w:sz w:val="14"/>
                <w:szCs w:val="14"/>
              </w:rPr>
              <w:br/>
              <w:t>- Competencias y formación requerida</w:t>
            </w: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D6163E" w14:textId="5694DDA3" w:rsidR="00A34727" w:rsidRPr="00BF7C8B" w:rsidRDefault="00BC2CE9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Se verifica que cada rol tiene responsabilidades claramente definidas y no solapadas. Se confirma que las actividades críticas (verificación, aprobación) no pueden ser realizadas por el mismo rol que implementa el cambio. Se recomienda mantener evidencia de competencias del equipo (formación/certificaciones).</w:t>
            </w:r>
          </w:p>
        </w:tc>
        <w:tc>
          <w:tcPr>
            <w:tcW w:w="8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20473A" w14:textId="0F22DCDE" w:rsidR="00A34727" w:rsidRPr="00BF7C8B" w:rsidRDefault="00BC2CE9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Aprobado</w:t>
            </w:r>
          </w:p>
        </w:tc>
        <w:tc>
          <w:tcPr>
            <w:tcW w:w="2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595BE7" w14:textId="646AC298" w:rsidR="00A34727" w:rsidRPr="00BF7C8B" w:rsidRDefault="00D0488A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Impacto en gobernanza del ciclo de vida: garantiza que los requisitos, diseño, implementación y verificación cumplen IEC 62304. Reduce riesgo organizativo.</w:t>
            </w:r>
          </w:p>
        </w:tc>
        <w:tc>
          <w:tcPr>
            <w:tcW w:w="1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2792F8" w14:textId="3BB2DD6C" w:rsidR="00A34727" w:rsidRPr="00BF7C8B" w:rsidRDefault="00D0488A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Gerardo Roger, Fernando Igual, Julián Rojas</w:t>
            </w:r>
          </w:p>
        </w:tc>
        <w:tc>
          <w:tcPr>
            <w:tcW w:w="9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3E1D11" w14:textId="367BB9BF" w:rsidR="00A34727" w:rsidRPr="00BF7C8B" w:rsidRDefault="00FA715C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28</w:t>
            </w:r>
            <w:r w:rsidR="00D0488A" w:rsidRPr="00BF7C8B">
              <w:rPr>
                <w:sz w:val="14"/>
                <w:szCs w:val="14"/>
              </w:rPr>
              <w:t>/01/2026</w:t>
            </w:r>
          </w:p>
        </w:tc>
        <w:tc>
          <w:tcPr>
            <w:tcW w:w="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EE0172" w14:textId="15D1D69B" w:rsidR="00A34727" w:rsidRPr="00BF7C8B" w:rsidRDefault="00FA715C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1.0</w:t>
            </w:r>
          </w:p>
        </w:tc>
      </w:tr>
      <w:tr w:rsidR="00A34727" w:rsidRPr="00BF7C8B" w14:paraId="414BFD4D" w14:textId="77777777" w:rsidTr="00E662E0">
        <w:tc>
          <w:tcPr>
            <w:tcW w:w="119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C0EC1E" w14:textId="069277DA" w:rsidR="00A34727" w:rsidRPr="00BF7C8B" w:rsidRDefault="007D63BF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FT-SW-003</w:t>
            </w:r>
          </w:p>
        </w:tc>
        <w:tc>
          <w:tcPr>
            <w:tcW w:w="10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2F188E" w14:textId="14C25BBD" w:rsidR="00A34727" w:rsidRPr="00BF7C8B" w:rsidRDefault="00051BF3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Formación / Competencias</w:t>
            </w:r>
          </w:p>
        </w:tc>
        <w:tc>
          <w:tcPr>
            <w:tcW w:w="6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CE01BC" w14:textId="67E568A9" w:rsidR="00A34727" w:rsidRPr="00BF7C8B" w:rsidRDefault="00051BF3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0.1</w:t>
            </w:r>
          </w:p>
        </w:tc>
        <w:tc>
          <w:tcPr>
            <w:tcW w:w="253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2576C4" w14:textId="7EB91A0E" w:rsidR="00A34727" w:rsidRPr="00BF7C8B" w:rsidRDefault="001417F7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- Definición del plan de formación por rol</w:t>
            </w:r>
            <w:r w:rsidRPr="00BF7C8B">
              <w:rPr>
                <w:sz w:val="14"/>
                <w:szCs w:val="14"/>
              </w:rPr>
              <w:br/>
              <w:t>- Cobertura de formación en procesos SGC (IEC 62304, ISO 14971, seguridad)</w:t>
            </w:r>
            <w:r w:rsidRPr="00BF7C8B">
              <w:rPr>
                <w:sz w:val="14"/>
                <w:szCs w:val="14"/>
              </w:rPr>
              <w:br/>
              <w:t>- Registro de ejecución y evidencias de formación</w:t>
            </w:r>
            <w:r w:rsidRPr="00BF7C8B">
              <w:rPr>
                <w:sz w:val="14"/>
                <w:szCs w:val="14"/>
              </w:rPr>
              <w:br/>
            </w:r>
            <w:r w:rsidRPr="00BF7C8B">
              <w:rPr>
                <w:sz w:val="14"/>
                <w:szCs w:val="14"/>
              </w:rPr>
              <w:lastRenderedPageBreak/>
              <w:t>- Evaluación de efectividad de la formación</w:t>
            </w: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4A2581" w14:textId="222D4DF5" w:rsidR="00A34727" w:rsidRPr="00BF7C8B" w:rsidRDefault="001417F7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lastRenderedPageBreak/>
              <w:t xml:space="preserve">Se verifica que el plan cubre formación inicial y recurrente por rol. Se recomienda asegurar evidencia de asistencia y evaluación (ej. cuestionario, revisión supervisada). Se confirma alineación </w:t>
            </w:r>
            <w:r w:rsidRPr="00BF7C8B">
              <w:rPr>
                <w:sz w:val="14"/>
                <w:szCs w:val="14"/>
              </w:rPr>
              <w:lastRenderedPageBreak/>
              <w:t>con FT-SW-002 (competencias del rol).</w:t>
            </w:r>
          </w:p>
        </w:tc>
        <w:tc>
          <w:tcPr>
            <w:tcW w:w="8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8D99B6" w14:textId="13DA455A" w:rsidR="00A34727" w:rsidRPr="00BF7C8B" w:rsidRDefault="001417F7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lastRenderedPageBreak/>
              <w:t>Aprobado</w:t>
            </w:r>
          </w:p>
        </w:tc>
        <w:tc>
          <w:tcPr>
            <w:tcW w:w="2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4E986A" w14:textId="2F159A33" w:rsidR="00A34727" w:rsidRPr="00BF7C8B" w:rsidRDefault="002814C9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 xml:space="preserve">Impacto en competencias del equipo: garantiza que las actividades del ciclo de vida se ejecutan por personal cualificado. Reduce riesgo organizativo. Sin impacto directo en diseño o </w:t>
            </w:r>
            <w:r w:rsidRPr="00BF7C8B">
              <w:rPr>
                <w:sz w:val="14"/>
                <w:szCs w:val="14"/>
              </w:rPr>
              <w:lastRenderedPageBreak/>
              <w:t>comportamiento del sistema.</w:t>
            </w:r>
          </w:p>
        </w:tc>
        <w:tc>
          <w:tcPr>
            <w:tcW w:w="1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39BDF2" w14:textId="71F37D82" w:rsidR="00A34727" w:rsidRPr="00BF7C8B" w:rsidRDefault="00B558B2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lastRenderedPageBreak/>
              <w:t>Gerardo Roger, Fernando Igual, Julián Rojas</w:t>
            </w:r>
          </w:p>
        </w:tc>
        <w:tc>
          <w:tcPr>
            <w:tcW w:w="9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38E9E5" w14:textId="50222006" w:rsidR="00A34727" w:rsidRPr="00BF7C8B" w:rsidRDefault="00583471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02/02/2026</w:t>
            </w:r>
          </w:p>
        </w:tc>
        <w:tc>
          <w:tcPr>
            <w:tcW w:w="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71DD85" w14:textId="1530400E" w:rsidR="00A34727" w:rsidRPr="00BF7C8B" w:rsidRDefault="00583471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1.0</w:t>
            </w:r>
          </w:p>
        </w:tc>
      </w:tr>
      <w:tr w:rsidR="00A34727" w:rsidRPr="00BF7C8B" w14:paraId="6CAE2CD6" w14:textId="77777777" w:rsidTr="00E662E0">
        <w:tc>
          <w:tcPr>
            <w:tcW w:w="119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413F7A" w14:textId="45676FBB" w:rsidR="00A34727" w:rsidRPr="00BF7C8B" w:rsidRDefault="003B0D06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FT-SW-004</w:t>
            </w:r>
          </w:p>
        </w:tc>
        <w:tc>
          <w:tcPr>
            <w:tcW w:w="10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2CF041" w14:textId="084737FE" w:rsidR="00A34727" w:rsidRPr="00BF7C8B" w:rsidRDefault="00DD0689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SOUP / Proveedores / Software de terceros</w:t>
            </w:r>
          </w:p>
        </w:tc>
        <w:tc>
          <w:tcPr>
            <w:tcW w:w="6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09CBA6" w14:textId="63E28982" w:rsidR="00A34727" w:rsidRPr="00BF7C8B" w:rsidRDefault="00DD0689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0.1</w:t>
            </w:r>
          </w:p>
        </w:tc>
        <w:tc>
          <w:tcPr>
            <w:tcW w:w="253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D67792" w14:textId="6A77AE32" w:rsidR="00A34727" w:rsidRPr="00BF7C8B" w:rsidRDefault="00DD0689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 xml:space="preserve">- Identificación completa de dependencias externas (librerías, </w:t>
            </w:r>
            <w:proofErr w:type="spellStart"/>
            <w:r w:rsidRPr="00BF7C8B">
              <w:rPr>
                <w:sz w:val="14"/>
                <w:szCs w:val="14"/>
              </w:rPr>
              <w:t>frameworks</w:t>
            </w:r>
            <w:proofErr w:type="spellEnd"/>
            <w:r w:rsidRPr="00BF7C8B">
              <w:rPr>
                <w:sz w:val="14"/>
                <w:szCs w:val="14"/>
              </w:rPr>
              <w:t xml:space="preserve">, </w:t>
            </w:r>
            <w:proofErr w:type="spellStart"/>
            <w:r w:rsidRPr="00BF7C8B">
              <w:rPr>
                <w:sz w:val="14"/>
                <w:szCs w:val="14"/>
              </w:rPr>
              <w:t>APIs</w:t>
            </w:r>
            <w:proofErr w:type="spellEnd"/>
            <w:r w:rsidRPr="00BF7C8B">
              <w:rPr>
                <w:sz w:val="14"/>
                <w:szCs w:val="14"/>
              </w:rPr>
              <w:t>)</w:t>
            </w:r>
            <w:r w:rsidRPr="00BF7C8B">
              <w:rPr>
                <w:sz w:val="14"/>
                <w:szCs w:val="14"/>
              </w:rPr>
              <w:br/>
              <w:t>- Clasificación de criticidad (Alta / Media / Baja)</w:t>
            </w:r>
            <w:r w:rsidRPr="00BF7C8B">
              <w:rPr>
                <w:sz w:val="14"/>
                <w:szCs w:val="14"/>
              </w:rPr>
              <w:br/>
              <w:t>- Estado de aprobación de cada componente</w:t>
            </w:r>
            <w:r w:rsidRPr="00BF7C8B">
              <w:rPr>
                <w:sz w:val="14"/>
                <w:szCs w:val="14"/>
              </w:rPr>
              <w:br/>
              <w:t>- Revisión de licencias</w:t>
            </w:r>
            <w:r w:rsidRPr="00BF7C8B">
              <w:rPr>
                <w:sz w:val="14"/>
                <w:szCs w:val="14"/>
              </w:rPr>
              <w:br/>
              <w:t>- Gestión de vulnerabilidades (CVE, estado)</w:t>
            </w:r>
            <w:r w:rsidRPr="00BF7C8B">
              <w:rPr>
                <w:sz w:val="14"/>
                <w:szCs w:val="14"/>
              </w:rPr>
              <w:br/>
              <w:t>- Separación entre producto y herramientas de desarrollo</w:t>
            </w: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B5F4D5" w14:textId="149C9E0A" w:rsidR="00A34727" w:rsidRPr="00BF7C8B" w:rsidRDefault="00CC737C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Se verifica que todas las dependencias relevantes están identificadas y clasificadas. Se confirma que los componentes críticos (DB, seguridad, autenticación, mensajería) están marcados como “Alta”. Se recomienda mantener monitorización continua de vulnerabilidades (CVE) y revisión periódica del SBOM.</w:t>
            </w:r>
          </w:p>
        </w:tc>
        <w:tc>
          <w:tcPr>
            <w:tcW w:w="8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7E4C39" w14:textId="4DD9CDA2" w:rsidR="00A34727" w:rsidRPr="00BF7C8B" w:rsidRDefault="00CC737C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Aprobado</w:t>
            </w:r>
          </w:p>
        </w:tc>
        <w:tc>
          <w:tcPr>
            <w:tcW w:w="2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3EED10" w14:textId="099BDBD9" w:rsidR="00A34727" w:rsidRPr="00BF7C8B" w:rsidRDefault="00CC737C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Impacto en riesgo y ciberseguridad: uso de SOUP gestionado mediante control de versiones, licencias y vulnerabilidades. No introduce lógica clínica. Impacto en mantenimiento y evaluación continua.</w:t>
            </w:r>
          </w:p>
        </w:tc>
        <w:tc>
          <w:tcPr>
            <w:tcW w:w="1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196E28" w14:textId="622D4EFA" w:rsidR="00A34727" w:rsidRPr="00BF7C8B" w:rsidRDefault="00C036DB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Gerardo Roger, Fernando Igual, Julián Rojas</w:t>
            </w:r>
          </w:p>
        </w:tc>
        <w:tc>
          <w:tcPr>
            <w:tcW w:w="9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A3CB60" w14:textId="433F4DC5" w:rsidR="00A34727" w:rsidRPr="00BF7C8B" w:rsidRDefault="00024E45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26/02/2026</w:t>
            </w:r>
          </w:p>
        </w:tc>
        <w:tc>
          <w:tcPr>
            <w:tcW w:w="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BDE95C" w14:textId="4EC02627" w:rsidR="00A34727" w:rsidRPr="00BF7C8B" w:rsidRDefault="00024E45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1.0</w:t>
            </w:r>
          </w:p>
        </w:tc>
      </w:tr>
      <w:tr w:rsidR="00A34727" w:rsidRPr="00BF7C8B" w14:paraId="4C1D345C" w14:textId="77777777" w:rsidTr="00E662E0">
        <w:tc>
          <w:tcPr>
            <w:tcW w:w="119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FAF358" w14:textId="06A09B07" w:rsidR="00A34727" w:rsidRPr="00BF7C8B" w:rsidRDefault="00A527C0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FT-SW-005</w:t>
            </w:r>
          </w:p>
        </w:tc>
        <w:tc>
          <w:tcPr>
            <w:tcW w:w="10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565C7F" w14:textId="2E65E0D5" w:rsidR="00A34727" w:rsidRPr="00BF7C8B" w:rsidRDefault="000D726A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Revisión / Aprobación</w:t>
            </w:r>
          </w:p>
        </w:tc>
        <w:tc>
          <w:tcPr>
            <w:tcW w:w="6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2752C6" w14:textId="5B1540DB" w:rsidR="00A34727" w:rsidRPr="00BF7C8B" w:rsidRDefault="000D726A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0.1</w:t>
            </w:r>
          </w:p>
        </w:tc>
        <w:tc>
          <w:tcPr>
            <w:tcW w:w="253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9F3936" w14:textId="2630853D" w:rsidR="00A34727" w:rsidRPr="00BF7C8B" w:rsidRDefault="000D726A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- Existencia de registro trazable de revisiones</w:t>
            </w:r>
            <w:r w:rsidRPr="00BF7C8B">
              <w:rPr>
                <w:sz w:val="14"/>
                <w:szCs w:val="14"/>
              </w:rPr>
              <w:br/>
              <w:t>- Evidencia de revisiones técnicas y documentales</w:t>
            </w:r>
            <w:r w:rsidRPr="00BF7C8B">
              <w:rPr>
                <w:sz w:val="14"/>
                <w:szCs w:val="14"/>
              </w:rPr>
              <w:br/>
              <w:t>- Registro de aprobaciones formales</w:t>
            </w:r>
            <w:r w:rsidRPr="00BF7C8B">
              <w:rPr>
                <w:sz w:val="14"/>
                <w:szCs w:val="14"/>
              </w:rPr>
              <w:br/>
              <w:t>- Inclusión de autor, revisor y resultado</w:t>
            </w:r>
            <w:r w:rsidRPr="00BF7C8B">
              <w:rPr>
                <w:sz w:val="14"/>
                <w:szCs w:val="14"/>
              </w:rPr>
              <w:br/>
              <w:t>- Trazabilidad a evidencias</w:t>
            </w: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62D12B" w14:textId="4CA7C67F" w:rsidR="00A34727" w:rsidRPr="00BF7C8B" w:rsidRDefault="00BF7C8B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Se valida que el documento permite registrar revisiones y aprobaciones del ciclo de vida conforme al SGC. Se confirma que el formato permite mantener trazabilidad completa. No se identifican desviaciones.</w:t>
            </w:r>
          </w:p>
        </w:tc>
        <w:tc>
          <w:tcPr>
            <w:tcW w:w="8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FF1E89" w14:textId="076D1458" w:rsidR="00A34727" w:rsidRPr="00BF7C8B" w:rsidRDefault="00BF7C8B" w:rsidP="00A34727">
            <w:pPr>
              <w:rPr>
                <w:sz w:val="14"/>
                <w:szCs w:val="14"/>
              </w:rPr>
            </w:pPr>
            <w:r w:rsidRPr="00BF7C8B">
              <w:rPr>
                <w:sz w:val="14"/>
                <w:szCs w:val="14"/>
              </w:rPr>
              <w:t>Aprobado</w:t>
            </w:r>
          </w:p>
        </w:tc>
        <w:tc>
          <w:tcPr>
            <w:tcW w:w="2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43454A" w14:textId="049E3E6A" w:rsidR="00A34727" w:rsidRPr="004A6455" w:rsidRDefault="004A6455" w:rsidP="00A34727">
            <w:pPr>
              <w:rPr>
                <w:sz w:val="14"/>
                <w:szCs w:val="14"/>
              </w:rPr>
            </w:pPr>
            <w:r w:rsidRPr="004A6455">
              <w:rPr>
                <w:sz w:val="14"/>
                <w:szCs w:val="14"/>
              </w:rPr>
              <w:t>Impacto en verificación y gobernanza del ciclo de vida: asegura evidencia objetiva de revisión y aprobación. No impacto en diseño ni riesgo clínico.</w:t>
            </w:r>
          </w:p>
        </w:tc>
        <w:tc>
          <w:tcPr>
            <w:tcW w:w="1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C5E15A" w14:textId="65615CE6" w:rsidR="00A34727" w:rsidRPr="00E87294" w:rsidRDefault="00E87294" w:rsidP="00A34727">
            <w:pPr>
              <w:rPr>
                <w:sz w:val="14"/>
                <w:szCs w:val="14"/>
              </w:rPr>
            </w:pPr>
            <w:r w:rsidRPr="00E87294">
              <w:rPr>
                <w:sz w:val="14"/>
                <w:szCs w:val="14"/>
              </w:rPr>
              <w:t>Gerardo Roger, Fernando Igual, Julián Rojas</w:t>
            </w:r>
          </w:p>
        </w:tc>
        <w:tc>
          <w:tcPr>
            <w:tcW w:w="9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631FC0" w14:textId="3C7D80DB" w:rsidR="00A34727" w:rsidRPr="00BF7C8B" w:rsidRDefault="003F0DBB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02/03/2026</w:t>
            </w:r>
          </w:p>
        </w:tc>
        <w:tc>
          <w:tcPr>
            <w:tcW w:w="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C5CB82" w14:textId="5EDD3882" w:rsidR="00A34727" w:rsidRPr="00BF7C8B" w:rsidRDefault="003F0DBB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</w:t>
            </w:r>
          </w:p>
        </w:tc>
      </w:tr>
      <w:tr w:rsidR="00A34727" w:rsidRPr="00BF7C8B" w14:paraId="3B7796C4" w14:textId="77777777" w:rsidTr="00E662E0">
        <w:tc>
          <w:tcPr>
            <w:tcW w:w="119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6E8A43" w14:textId="49AF3D4A" w:rsidR="00A34727" w:rsidRPr="00C0357D" w:rsidRDefault="00C0357D" w:rsidP="00A34727">
            <w:pPr>
              <w:rPr>
                <w:sz w:val="14"/>
                <w:szCs w:val="14"/>
              </w:rPr>
            </w:pPr>
            <w:r w:rsidRPr="00C0357D">
              <w:rPr>
                <w:sz w:val="14"/>
                <w:szCs w:val="14"/>
              </w:rPr>
              <w:t>HERR-INV-001</w:t>
            </w:r>
          </w:p>
        </w:tc>
        <w:tc>
          <w:tcPr>
            <w:tcW w:w="10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BAE1D8" w14:textId="2A2A4514" w:rsidR="00A34727" w:rsidRPr="00A508B6" w:rsidRDefault="00A508B6" w:rsidP="00A34727">
            <w:pPr>
              <w:rPr>
                <w:sz w:val="14"/>
                <w:szCs w:val="14"/>
              </w:rPr>
            </w:pPr>
            <w:r w:rsidRPr="00A508B6">
              <w:rPr>
                <w:sz w:val="14"/>
                <w:szCs w:val="14"/>
              </w:rPr>
              <w:t>Herramientas / CI-CD / SOUP / Infraestructura</w:t>
            </w:r>
          </w:p>
        </w:tc>
        <w:tc>
          <w:tcPr>
            <w:tcW w:w="6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76C31B" w14:textId="165CEB0A" w:rsidR="00A34727" w:rsidRPr="00BF7C8B" w:rsidRDefault="009C4DE5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</w:t>
            </w:r>
          </w:p>
        </w:tc>
        <w:tc>
          <w:tcPr>
            <w:tcW w:w="253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27C005" w14:textId="49FED882" w:rsidR="00A34727" w:rsidRPr="00A84942" w:rsidRDefault="00A84942" w:rsidP="00A34727">
            <w:pPr>
              <w:rPr>
                <w:sz w:val="14"/>
                <w:szCs w:val="14"/>
              </w:rPr>
            </w:pPr>
            <w:r w:rsidRPr="00A84942">
              <w:rPr>
                <w:sz w:val="14"/>
                <w:szCs w:val="14"/>
              </w:rPr>
              <w:t>- Identificación completa de herramientas del ciclo de vida</w:t>
            </w:r>
            <w:r w:rsidRPr="00A84942">
              <w:rPr>
                <w:sz w:val="14"/>
                <w:szCs w:val="14"/>
              </w:rPr>
              <w:br/>
              <w:t>- Clasificación en Categoría A (impacto regulatorio) y B (soporte)</w:t>
            </w:r>
            <w:r w:rsidRPr="00A84942">
              <w:rPr>
                <w:sz w:val="14"/>
                <w:szCs w:val="14"/>
              </w:rPr>
              <w:br/>
              <w:t>- Definición de propósito por herramienta</w:t>
            </w:r>
            <w:r w:rsidRPr="00A84942">
              <w:rPr>
                <w:sz w:val="14"/>
                <w:szCs w:val="14"/>
              </w:rPr>
              <w:br/>
              <w:t>- Estado de cualificación de herramientas críticas</w:t>
            </w:r>
            <w:r w:rsidRPr="00A84942">
              <w:rPr>
                <w:sz w:val="14"/>
                <w:szCs w:val="14"/>
              </w:rPr>
              <w:br/>
              <w:t>- Control de versiones (Docker, SDK, librerías, pipelines)</w:t>
            </w:r>
            <w:r w:rsidRPr="00A84942">
              <w:rPr>
                <w:sz w:val="14"/>
                <w:szCs w:val="14"/>
              </w:rPr>
              <w:br/>
              <w:t>- Uso de herramientas de verificación (</w:t>
            </w:r>
            <w:proofErr w:type="spellStart"/>
            <w:r w:rsidRPr="00A84942">
              <w:rPr>
                <w:sz w:val="14"/>
                <w:szCs w:val="14"/>
              </w:rPr>
              <w:t>NUnit</w:t>
            </w:r>
            <w:proofErr w:type="spellEnd"/>
            <w:r w:rsidRPr="00A84942">
              <w:rPr>
                <w:sz w:val="14"/>
                <w:szCs w:val="14"/>
              </w:rPr>
              <w:t>, Karma, Mongo2Go)</w:t>
            </w: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FE5829" w14:textId="30C8DFCF" w:rsidR="00A34727" w:rsidRPr="008C1ED1" w:rsidRDefault="008C1ED1" w:rsidP="00A34727">
            <w:pPr>
              <w:rPr>
                <w:sz w:val="14"/>
                <w:szCs w:val="14"/>
              </w:rPr>
            </w:pPr>
            <w:r w:rsidRPr="008C1ED1">
              <w:rPr>
                <w:sz w:val="14"/>
                <w:szCs w:val="14"/>
              </w:rPr>
              <w:t xml:space="preserve">Se verifica que las herramientas críticas (CI/CD, compilación, </w:t>
            </w:r>
            <w:proofErr w:type="spellStart"/>
            <w:r w:rsidRPr="008C1ED1">
              <w:rPr>
                <w:sz w:val="14"/>
                <w:szCs w:val="14"/>
              </w:rPr>
              <w:t>testing</w:t>
            </w:r>
            <w:proofErr w:type="spellEnd"/>
            <w:r w:rsidRPr="008C1ED1">
              <w:rPr>
                <w:sz w:val="14"/>
                <w:szCs w:val="14"/>
              </w:rPr>
              <w:t xml:space="preserve">, repositorio, Docker, </w:t>
            </w:r>
            <w:proofErr w:type="spellStart"/>
            <w:r w:rsidRPr="008C1ED1">
              <w:rPr>
                <w:sz w:val="14"/>
                <w:szCs w:val="14"/>
              </w:rPr>
              <w:t>registry</w:t>
            </w:r>
            <w:proofErr w:type="spellEnd"/>
            <w:r w:rsidRPr="008C1ED1">
              <w:rPr>
                <w:sz w:val="14"/>
                <w:szCs w:val="14"/>
              </w:rPr>
              <w:t xml:space="preserve">) están correctamente clasificadas como Categoría A. Se confirma que su cualificación se basa en evidencia del fabricante y verificación continua mediante </w:t>
            </w:r>
            <w:proofErr w:type="spellStart"/>
            <w:r w:rsidRPr="008C1ED1">
              <w:rPr>
                <w:sz w:val="14"/>
                <w:szCs w:val="14"/>
              </w:rPr>
              <w:t>tests</w:t>
            </w:r>
            <w:proofErr w:type="spellEnd"/>
            <w:r w:rsidRPr="008C1ED1">
              <w:rPr>
                <w:sz w:val="14"/>
                <w:szCs w:val="14"/>
              </w:rPr>
              <w:t>. Se recomienda mantener control de versiones fijadas y revisión periódica del inventario.</w:t>
            </w:r>
          </w:p>
        </w:tc>
        <w:tc>
          <w:tcPr>
            <w:tcW w:w="8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88D649" w14:textId="79C7B8A7" w:rsidR="00A34727" w:rsidRPr="00BF7C8B" w:rsidRDefault="008C1ED1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Aprobado</w:t>
            </w:r>
          </w:p>
        </w:tc>
        <w:tc>
          <w:tcPr>
            <w:tcW w:w="2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91B3F8" w14:textId="05C4D534" w:rsidR="00A34727" w:rsidRPr="001D7C7D" w:rsidRDefault="001D7C7D" w:rsidP="00A34727">
            <w:pPr>
              <w:rPr>
                <w:sz w:val="14"/>
                <w:szCs w:val="14"/>
              </w:rPr>
            </w:pPr>
            <w:r w:rsidRPr="001D7C7D">
              <w:rPr>
                <w:sz w:val="14"/>
                <w:szCs w:val="14"/>
              </w:rPr>
              <w:t>Impacto en verificación y release: asegura que herramientas que generan artefactos o evidencias están controladas y cualificadas. Reduce riesgo de errores en build/test. Impacto indirecto en calidad y trazabilidad del producto.</w:t>
            </w:r>
          </w:p>
        </w:tc>
        <w:tc>
          <w:tcPr>
            <w:tcW w:w="1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B1F7E6" w14:textId="218164EF" w:rsidR="00A34727" w:rsidRPr="001D7C7D" w:rsidRDefault="001D7C7D" w:rsidP="00A34727">
            <w:pPr>
              <w:rPr>
                <w:sz w:val="14"/>
                <w:szCs w:val="14"/>
              </w:rPr>
            </w:pPr>
            <w:r w:rsidRPr="001D7C7D">
              <w:rPr>
                <w:sz w:val="14"/>
                <w:szCs w:val="14"/>
              </w:rPr>
              <w:t>Gerardo Roger, Fernando Igual, Julián Rojas</w:t>
            </w:r>
          </w:p>
        </w:tc>
        <w:tc>
          <w:tcPr>
            <w:tcW w:w="9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802558" w14:textId="6D75119A" w:rsidR="00A34727" w:rsidRPr="00BF7C8B" w:rsidRDefault="007C6377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05/03/2026</w:t>
            </w:r>
          </w:p>
        </w:tc>
        <w:tc>
          <w:tcPr>
            <w:tcW w:w="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25854B" w14:textId="7326A98D" w:rsidR="00A34727" w:rsidRPr="00BF7C8B" w:rsidRDefault="00F3430F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</w:t>
            </w:r>
          </w:p>
        </w:tc>
      </w:tr>
      <w:tr w:rsidR="00A34727" w:rsidRPr="00BF7C8B" w14:paraId="5E260603" w14:textId="77777777" w:rsidTr="00E662E0">
        <w:tc>
          <w:tcPr>
            <w:tcW w:w="119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DFB53E" w14:textId="13F15896" w:rsidR="00A34727" w:rsidRPr="00F72CE8" w:rsidRDefault="00F72CE8" w:rsidP="00A34727">
            <w:pPr>
              <w:rPr>
                <w:sz w:val="14"/>
                <w:szCs w:val="14"/>
              </w:rPr>
            </w:pPr>
            <w:r w:rsidRPr="00F72CE8">
              <w:rPr>
                <w:sz w:val="14"/>
                <w:szCs w:val="14"/>
              </w:rPr>
              <w:t>Tabla 5.3 – Entregables y registros por fase</w:t>
            </w:r>
          </w:p>
        </w:tc>
        <w:tc>
          <w:tcPr>
            <w:tcW w:w="10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38F5C6" w14:textId="2D2F665F" w:rsidR="00A34727" w:rsidRPr="00741851" w:rsidRDefault="00741851" w:rsidP="00A34727">
            <w:pPr>
              <w:rPr>
                <w:sz w:val="14"/>
                <w:szCs w:val="14"/>
              </w:rPr>
            </w:pPr>
            <w:r w:rsidRPr="00741851">
              <w:rPr>
                <w:sz w:val="14"/>
                <w:szCs w:val="14"/>
              </w:rPr>
              <w:t>Planificación / SDP / Gobierno del ciclo de vida</w:t>
            </w:r>
          </w:p>
        </w:tc>
        <w:tc>
          <w:tcPr>
            <w:tcW w:w="6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397648" w14:textId="6952B6FB" w:rsidR="00A34727" w:rsidRPr="00BF7C8B" w:rsidRDefault="00741851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</w:t>
            </w:r>
          </w:p>
        </w:tc>
        <w:tc>
          <w:tcPr>
            <w:tcW w:w="253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7BA1B0" w14:textId="38BF7784" w:rsidR="00A34727" w:rsidRPr="00741851" w:rsidRDefault="00741851" w:rsidP="00A34727">
            <w:pPr>
              <w:rPr>
                <w:sz w:val="14"/>
                <w:szCs w:val="14"/>
              </w:rPr>
            </w:pPr>
            <w:r w:rsidRPr="00741851">
              <w:rPr>
                <w:sz w:val="14"/>
                <w:szCs w:val="14"/>
              </w:rPr>
              <w:t>- Definición completa de fases del ciclo de vida (planificación, requisitos, diseño, implementación, verificación, validación, release, mantenimiento)</w:t>
            </w:r>
            <w:r w:rsidRPr="00741851">
              <w:rPr>
                <w:sz w:val="14"/>
                <w:szCs w:val="14"/>
              </w:rPr>
              <w:br/>
              <w:t>- Identificación de entregables por fase</w:t>
            </w:r>
            <w:r w:rsidRPr="00741851">
              <w:rPr>
                <w:sz w:val="14"/>
                <w:szCs w:val="14"/>
              </w:rPr>
              <w:br/>
              <w:t>- Definición del momento de generación (temporalidad)</w:t>
            </w:r>
            <w:r w:rsidRPr="00741851">
              <w:rPr>
                <w:sz w:val="14"/>
                <w:szCs w:val="14"/>
              </w:rPr>
              <w:br/>
              <w:t>- Relación con capítulos del SDP</w:t>
            </w:r>
            <w:r w:rsidRPr="00741851">
              <w:rPr>
                <w:sz w:val="14"/>
                <w:szCs w:val="14"/>
              </w:rPr>
              <w:br/>
            </w:r>
            <w:r w:rsidRPr="00741851">
              <w:rPr>
                <w:sz w:val="14"/>
                <w:szCs w:val="14"/>
              </w:rPr>
              <w:lastRenderedPageBreak/>
              <w:t>- Inclusión de trazabilidad entre artefactos y fases</w:t>
            </w: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F6CEC2" w14:textId="13388F2B" w:rsidR="00A34727" w:rsidRPr="00741851" w:rsidRDefault="00741851" w:rsidP="00A34727">
            <w:pPr>
              <w:rPr>
                <w:sz w:val="14"/>
                <w:szCs w:val="14"/>
              </w:rPr>
            </w:pPr>
            <w:r w:rsidRPr="00741851">
              <w:rPr>
                <w:sz w:val="14"/>
                <w:szCs w:val="14"/>
              </w:rPr>
              <w:lastRenderedPageBreak/>
              <w:t>Se verifica que el documento cubre todas las fases del ciclo de vida conforme a IEC 62304. Se confirma que cada fase tiene entregables definidos, propósito claro y referencia documental. Se valida coherencia con los artefactos generados (FT-SW-</w:t>
            </w:r>
            <w:proofErr w:type="spellStart"/>
            <w:r w:rsidRPr="00741851">
              <w:rPr>
                <w:sz w:val="14"/>
                <w:szCs w:val="14"/>
              </w:rPr>
              <w:t>xxx</w:t>
            </w:r>
            <w:proofErr w:type="spellEnd"/>
            <w:r w:rsidRPr="00741851">
              <w:rPr>
                <w:sz w:val="14"/>
                <w:szCs w:val="14"/>
              </w:rPr>
              <w:t xml:space="preserve">, REQ-AH, </w:t>
            </w:r>
            <w:r w:rsidRPr="00741851">
              <w:rPr>
                <w:sz w:val="14"/>
                <w:szCs w:val="14"/>
              </w:rPr>
              <w:lastRenderedPageBreak/>
              <w:t>SEC, NFR, etc.). No se identifican lagunas.</w:t>
            </w:r>
          </w:p>
        </w:tc>
        <w:tc>
          <w:tcPr>
            <w:tcW w:w="8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6698A8" w14:textId="43A7D8D3" w:rsidR="00A34727" w:rsidRPr="00BF7C8B" w:rsidRDefault="00E009F6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Aprobado</w:t>
            </w:r>
          </w:p>
        </w:tc>
        <w:tc>
          <w:tcPr>
            <w:tcW w:w="2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FB3701" w14:textId="4FE64229" w:rsidR="00A34727" w:rsidRPr="00E009F6" w:rsidRDefault="00E009F6" w:rsidP="00A34727">
            <w:pPr>
              <w:rPr>
                <w:sz w:val="14"/>
                <w:szCs w:val="14"/>
              </w:rPr>
            </w:pPr>
            <w:r w:rsidRPr="00E009F6">
              <w:rPr>
                <w:sz w:val="14"/>
                <w:szCs w:val="14"/>
              </w:rPr>
              <w:t>Impacto transversal: define el marco completo del ciclo de vida, asegurando coherencia entre requisitos, diseño, verificación, release y mantenimiento. Base del SDP y de la trazabilidad global del sistema.</w:t>
            </w:r>
          </w:p>
        </w:tc>
        <w:tc>
          <w:tcPr>
            <w:tcW w:w="121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79F043" w14:textId="42C12BC6" w:rsidR="00A34727" w:rsidRPr="00F268FF" w:rsidRDefault="00F268FF" w:rsidP="00A34727">
            <w:pPr>
              <w:rPr>
                <w:sz w:val="14"/>
                <w:szCs w:val="14"/>
              </w:rPr>
            </w:pPr>
            <w:r w:rsidRPr="00F268FF">
              <w:rPr>
                <w:sz w:val="14"/>
                <w:szCs w:val="14"/>
              </w:rPr>
              <w:t>Gerardo Roger, Fernando Igual, Julián Rojas</w:t>
            </w:r>
          </w:p>
        </w:tc>
        <w:tc>
          <w:tcPr>
            <w:tcW w:w="9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031E73" w14:textId="630B27A1" w:rsidR="00A34727" w:rsidRPr="00BF7C8B" w:rsidRDefault="00F268FF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10/03/2026</w:t>
            </w:r>
          </w:p>
        </w:tc>
        <w:tc>
          <w:tcPr>
            <w:tcW w:w="87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B3C8A9" w14:textId="15D8D677" w:rsidR="00A34727" w:rsidRPr="00BF7C8B" w:rsidRDefault="00F268FF" w:rsidP="00A3472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</w:t>
            </w:r>
          </w:p>
        </w:tc>
      </w:tr>
    </w:tbl>
    <w:p w14:paraId="38F715D8" w14:textId="77777777" w:rsidR="00415FE6" w:rsidRDefault="00415FE6"/>
    <w:sectPr w:rsidR="00415FE6" w:rsidSect="00034616">
      <w:headerReference w:type="default" r:id="rId11"/>
      <w:pgSz w:w="15840" w:h="12240" w:orient="landscape"/>
      <w:pgMar w:top="907" w:right="1020" w:bottom="794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D2FD9" w14:textId="77777777" w:rsidR="00B2435A" w:rsidRDefault="00B2435A" w:rsidP="00CF5AFC">
      <w:pPr>
        <w:spacing w:after="0" w:line="240" w:lineRule="auto"/>
      </w:pPr>
      <w:r>
        <w:separator/>
      </w:r>
    </w:p>
  </w:endnote>
  <w:endnote w:type="continuationSeparator" w:id="0">
    <w:p w14:paraId="7B2E7141" w14:textId="77777777" w:rsidR="00B2435A" w:rsidRDefault="00B2435A" w:rsidP="00CF5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31B89" w14:textId="77777777" w:rsidR="00B2435A" w:rsidRDefault="00B2435A" w:rsidP="00CF5AFC">
      <w:pPr>
        <w:spacing w:after="0" w:line="240" w:lineRule="auto"/>
      </w:pPr>
      <w:r>
        <w:separator/>
      </w:r>
    </w:p>
  </w:footnote>
  <w:footnote w:type="continuationSeparator" w:id="0">
    <w:p w14:paraId="2257CBC9" w14:textId="77777777" w:rsidR="00B2435A" w:rsidRDefault="00B2435A" w:rsidP="00CF5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3A75A" w14:textId="7D06F6B2" w:rsidR="00CF5AFC" w:rsidRDefault="00615BC8" w:rsidP="007E1B0A">
    <w:pPr>
      <w:pStyle w:val="Encabezado"/>
      <w:tabs>
        <w:tab w:val="left" w:pos="11201"/>
      </w:tabs>
      <w:jc w:val="right"/>
    </w:pPr>
    <w:r>
      <w:rPr>
        <w:noProof/>
      </w:rPr>
      <w:drawing>
        <wp:inline distT="0" distB="0" distL="0" distR="0" wp14:anchorId="0F3315A9" wp14:editId="35D2A5C6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F5AFC">
      <w:tab/>
    </w:r>
    <w:r w:rsidR="007E1B0A">
      <w:tab/>
    </w:r>
    <w:r w:rsidR="007E1B0A">
      <w:tab/>
    </w:r>
    <w:r w:rsidR="00CF5AFC" w:rsidRPr="00D2566D">
      <w:rPr>
        <w:sz w:val="14"/>
        <w:szCs w:val="16"/>
      </w:rPr>
      <w:t>FT</w:t>
    </w:r>
    <w:r w:rsidR="007E1B0A" w:rsidRPr="00D2566D">
      <w:rPr>
        <w:sz w:val="14"/>
        <w:szCs w:val="16"/>
      </w:rPr>
      <w:t>-SW-RR-AD</w:t>
    </w:r>
    <w:r w:rsidR="00F53758">
      <w:rPr>
        <w:sz w:val="14"/>
        <w:szCs w:val="16"/>
      </w:rPr>
      <w:t>-C6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2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9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8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1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4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6" w15:restartNumberingAfterBreak="0">
    <w:nsid w:val="613A3190"/>
    <w:multiLevelType w:val="multilevel"/>
    <w:tmpl w:val="B716388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1D19E83"/>
    <w:multiLevelType w:val="multilevel"/>
    <w:tmpl w:val="5E602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2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004553565">
    <w:abstractNumId w:val="5"/>
  </w:num>
  <w:num w:numId="2" w16cid:durableId="1355182507">
    <w:abstractNumId w:val="1"/>
  </w:num>
  <w:num w:numId="3" w16cid:durableId="1559827446">
    <w:abstractNumId w:val="2"/>
  </w:num>
  <w:num w:numId="4" w16cid:durableId="1931961545">
    <w:abstractNumId w:val="4"/>
  </w:num>
  <w:num w:numId="5" w16cid:durableId="1942756440">
    <w:abstractNumId w:val="6"/>
  </w:num>
  <w:num w:numId="6" w16cid:durableId="332149045">
    <w:abstractNumId w:val="3"/>
  </w:num>
  <w:num w:numId="7" w16cid:durableId="447621222">
    <w:abstractNumId w:val="8"/>
  </w:num>
  <w:num w:numId="8" w16cid:durableId="807629382">
    <w:abstractNumId w:val="0"/>
  </w:num>
  <w:num w:numId="9" w16cid:durableId="899247455">
    <w:abstractNumId w:val="7"/>
  </w:num>
  <w:num w:numId="10" w16cid:durableId="1189029941">
    <w:abstractNumId w:val="41"/>
  </w:num>
  <w:num w:numId="11" w16cid:durableId="732654704">
    <w:abstractNumId w:val="9"/>
  </w:num>
  <w:num w:numId="12" w16cid:durableId="1629749335">
    <w:abstractNumId w:val="22"/>
  </w:num>
  <w:num w:numId="13" w16cid:durableId="602155810">
    <w:abstractNumId w:val="19"/>
  </w:num>
  <w:num w:numId="14" w16cid:durableId="1217012975">
    <w:abstractNumId w:val="30"/>
  </w:num>
  <w:num w:numId="15" w16cid:durableId="71003974">
    <w:abstractNumId w:val="21"/>
  </w:num>
  <w:num w:numId="16" w16cid:durableId="944194072">
    <w:abstractNumId w:val="18"/>
  </w:num>
  <w:num w:numId="17" w16cid:durableId="769081662">
    <w:abstractNumId w:val="28"/>
  </w:num>
  <w:num w:numId="18" w16cid:durableId="1698694861">
    <w:abstractNumId w:val="43"/>
  </w:num>
  <w:num w:numId="19" w16cid:durableId="987132047">
    <w:abstractNumId w:val="24"/>
  </w:num>
  <w:num w:numId="20" w16cid:durableId="626744179">
    <w:abstractNumId w:val="23"/>
  </w:num>
  <w:num w:numId="21" w16cid:durableId="720330129">
    <w:abstractNumId w:val="33"/>
  </w:num>
  <w:num w:numId="22" w16cid:durableId="1517247">
    <w:abstractNumId w:val="26"/>
  </w:num>
  <w:num w:numId="23" w16cid:durableId="74473488">
    <w:abstractNumId w:val="27"/>
  </w:num>
  <w:num w:numId="24" w16cid:durableId="1548755190">
    <w:abstractNumId w:val="35"/>
  </w:num>
  <w:num w:numId="25" w16cid:durableId="1056583078">
    <w:abstractNumId w:val="38"/>
  </w:num>
  <w:num w:numId="26" w16cid:durableId="1862931041">
    <w:abstractNumId w:val="13"/>
  </w:num>
  <w:num w:numId="27" w16cid:durableId="301160845">
    <w:abstractNumId w:val="25"/>
  </w:num>
  <w:num w:numId="28" w16cid:durableId="2099325995">
    <w:abstractNumId w:val="31"/>
  </w:num>
  <w:num w:numId="29" w16cid:durableId="1309628994">
    <w:abstractNumId w:val="36"/>
  </w:num>
  <w:num w:numId="30" w16cid:durableId="810484409">
    <w:abstractNumId w:val="11"/>
  </w:num>
  <w:num w:numId="31" w16cid:durableId="345837294">
    <w:abstractNumId w:val="12"/>
  </w:num>
  <w:num w:numId="32" w16cid:durableId="1228998953">
    <w:abstractNumId w:val="20"/>
  </w:num>
  <w:num w:numId="33" w16cid:durableId="1977443296">
    <w:abstractNumId w:val="15"/>
  </w:num>
  <w:num w:numId="34" w16cid:durableId="1894929299">
    <w:abstractNumId w:val="40"/>
  </w:num>
  <w:num w:numId="35" w16cid:durableId="2075615086">
    <w:abstractNumId w:val="14"/>
  </w:num>
  <w:num w:numId="36" w16cid:durableId="773981699">
    <w:abstractNumId w:val="29"/>
  </w:num>
  <w:num w:numId="37" w16cid:durableId="466895990">
    <w:abstractNumId w:val="32"/>
  </w:num>
  <w:num w:numId="38" w16cid:durableId="95029081">
    <w:abstractNumId w:val="37"/>
  </w:num>
  <w:num w:numId="39" w16cid:durableId="1585261305">
    <w:abstractNumId w:val="17"/>
  </w:num>
  <w:num w:numId="40" w16cid:durableId="1130175495">
    <w:abstractNumId w:val="42"/>
  </w:num>
  <w:num w:numId="41" w16cid:durableId="1259558329">
    <w:abstractNumId w:val="34"/>
  </w:num>
  <w:num w:numId="42" w16cid:durableId="560530335">
    <w:abstractNumId w:val="16"/>
  </w:num>
  <w:num w:numId="43" w16cid:durableId="1751193640">
    <w:abstractNumId w:val="39"/>
  </w:num>
  <w:num w:numId="44" w16cid:durableId="1473342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4E45"/>
    <w:rsid w:val="00034616"/>
    <w:rsid w:val="00051BF3"/>
    <w:rsid w:val="00054FDA"/>
    <w:rsid w:val="0006063C"/>
    <w:rsid w:val="00085696"/>
    <w:rsid w:val="000A1581"/>
    <w:rsid w:val="000D726A"/>
    <w:rsid w:val="000E6F10"/>
    <w:rsid w:val="001417F7"/>
    <w:rsid w:val="0015074B"/>
    <w:rsid w:val="00151C58"/>
    <w:rsid w:val="00160202"/>
    <w:rsid w:val="001930C3"/>
    <w:rsid w:val="001A6E97"/>
    <w:rsid w:val="001D7C7D"/>
    <w:rsid w:val="00227BB3"/>
    <w:rsid w:val="00247E04"/>
    <w:rsid w:val="002814C9"/>
    <w:rsid w:val="00292B07"/>
    <w:rsid w:val="0029639D"/>
    <w:rsid w:val="00301FE0"/>
    <w:rsid w:val="00326F90"/>
    <w:rsid w:val="00351E8C"/>
    <w:rsid w:val="00365C9E"/>
    <w:rsid w:val="003904A2"/>
    <w:rsid w:val="00394039"/>
    <w:rsid w:val="003B0D06"/>
    <w:rsid w:val="003B325C"/>
    <w:rsid w:val="003C3421"/>
    <w:rsid w:val="003C62A1"/>
    <w:rsid w:val="003F0DBB"/>
    <w:rsid w:val="00405CA2"/>
    <w:rsid w:val="00415FE6"/>
    <w:rsid w:val="00444309"/>
    <w:rsid w:val="00473C41"/>
    <w:rsid w:val="004A6455"/>
    <w:rsid w:val="004D2AE4"/>
    <w:rsid w:val="005826C6"/>
    <w:rsid w:val="00583471"/>
    <w:rsid w:val="005B7063"/>
    <w:rsid w:val="00602B7B"/>
    <w:rsid w:val="00615BC8"/>
    <w:rsid w:val="0067154B"/>
    <w:rsid w:val="006D05B2"/>
    <w:rsid w:val="00741851"/>
    <w:rsid w:val="0076362A"/>
    <w:rsid w:val="00771835"/>
    <w:rsid w:val="00782AC1"/>
    <w:rsid w:val="007943CB"/>
    <w:rsid w:val="007A05AD"/>
    <w:rsid w:val="007C6377"/>
    <w:rsid w:val="007D63BF"/>
    <w:rsid w:val="007E1B0A"/>
    <w:rsid w:val="0084555D"/>
    <w:rsid w:val="008A7AEB"/>
    <w:rsid w:val="008C1ED1"/>
    <w:rsid w:val="008F29E7"/>
    <w:rsid w:val="00936EE1"/>
    <w:rsid w:val="009661A3"/>
    <w:rsid w:val="00985067"/>
    <w:rsid w:val="009B13E5"/>
    <w:rsid w:val="009C4DE5"/>
    <w:rsid w:val="00A302AE"/>
    <w:rsid w:val="00A34727"/>
    <w:rsid w:val="00A508B6"/>
    <w:rsid w:val="00A527C0"/>
    <w:rsid w:val="00A83DDF"/>
    <w:rsid w:val="00A84942"/>
    <w:rsid w:val="00A85967"/>
    <w:rsid w:val="00AA1D8D"/>
    <w:rsid w:val="00AA3EA9"/>
    <w:rsid w:val="00AA7B75"/>
    <w:rsid w:val="00AE55DC"/>
    <w:rsid w:val="00B166C7"/>
    <w:rsid w:val="00B2435A"/>
    <w:rsid w:val="00B47730"/>
    <w:rsid w:val="00B558B2"/>
    <w:rsid w:val="00BB2DBF"/>
    <w:rsid w:val="00BC2CE9"/>
    <w:rsid w:val="00BF7C8B"/>
    <w:rsid w:val="00C0276B"/>
    <w:rsid w:val="00C0357D"/>
    <w:rsid w:val="00C036DB"/>
    <w:rsid w:val="00C2587E"/>
    <w:rsid w:val="00CB0664"/>
    <w:rsid w:val="00CC72B0"/>
    <w:rsid w:val="00CC737C"/>
    <w:rsid w:val="00CF5AFC"/>
    <w:rsid w:val="00D0488A"/>
    <w:rsid w:val="00D2566D"/>
    <w:rsid w:val="00DB22F4"/>
    <w:rsid w:val="00DC7998"/>
    <w:rsid w:val="00DD0689"/>
    <w:rsid w:val="00DD7234"/>
    <w:rsid w:val="00DE1B05"/>
    <w:rsid w:val="00E009F6"/>
    <w:rsid w:val="00E07FCA"/>
    <w:rsid w:val="00E5348A"/>
    <w:rsid w:val="00E662E0"/>
    <w:rsid w:val="00E87294"/>
    <w:rsid w:val="00E90445"/>
    <w:rsid w:val="00EB30E8"/>
    <w:rsid w:val="00F268FF"/>
    <w:rsid w:val="00F3430F"/>
    <w:rsid w:val="00F502E7"/>
    <w:rsid w:val="00F53758"/>
    <w:rsid w:val="00F64A7A"/>
    <w:rsid w:val="00F679AB"/>
    <w:rsid w:val="00F72CE8"/>
    <w:rsid w:val="00FA00E7"/>
    <w:rsid w:val="00FA715C"/>
    <w:rsid w:val="00FB203A"/>
    <w:rsid w:val="00FC693F"/>
    <w:rsid w:val="00FF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DB3C6F"/>
  <w14:defaultImageDpi w14:val="300"/>
  <w15:docId w15:val="{020831B0-7D0D-450A-8E9C-284CBC13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2E0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E662E0"/>
    <w:pPr>
      <w:numPr>
        <w:numId w:val="29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autoRedefine/>
    <w:uiPriority w:val="9"/>
    <w:unhideWhenUsed/>
    <w:qFormat/>
    <w:rsid w:val="00E662E0"/>
    <w:pPr>
      <w:numPr>
        <w:ilvl w:val="1"/>
        <w:numId w:val="20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E662E0"/>
    <w:pPr>
      <w:numPr>
        <w:ilvl w:val="2"/>
        <w:numId w:val="29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uiPriority w:val="9"/>
    <w:unhideWhenUsed/>
    <w:qFormat/>
    <w:rsid w:val="00E662E0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E662E0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E662E0"/>
    <w:pPr>
      <w:numPr>
        <w:ilvl w:val="5"/>
        <w:numId w:val="29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uiPriority w:val="9"/>
    <w:unhideWhenUsed/>
    <w:qFormat/>
    <w:rsid w:val="00E662E0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uiPriority w:val="9"/>
    <w:unhideWhenUsed/>
    <w:qFormat/>
    <w:rsid w:val="00E662E0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uiPriority w:val="9"/>
    <w:unhideWhenUsed/>
    <w:qFormat/>
    <w:rsid w:val="00E662E0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E662E0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E662E0"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paragraph" w:styleId="Prrafodelista">
    <w:name w:val="List Paragraph"/>
    <w:basedOn w:val="Normal"/>
    <w:link w:val="PrrafodelistaCar"/>
    <w:uiPriority w:val="34"/>
    <w:qFormat/>
    <w:rsid w:val="00E662E0"/>
    <w:pPr>
      <w:ind w:left="720"/>
      <w:contextualSpacing/>
    </w:p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3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E662E0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E662E0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EncabezadoCar">
    <w:name w:val="Encabezado Car"/>
    <w:basedOn w:val="Fuentedeprrafopredeter"/>
    <w:link w:val="Encabezado"/>
    <w:uiPriority w:val="99"/>
    <w:rsid w:val="00E662E0"/>
  </w:style>
  <w:style w:type="character" w:customStyle="1" w:styleId="PiedepginaCar">
    <w:name w:val="Pie de página Car"/>
    <w:basedOn w:val="Fuentedeprrafopredeter"/>
    <w:link w:val="Piedepgina"/>
    <w:uiPriority w:val="99"/>
    <w:rsid w:val="00E662E0"/>
  </w:style>
  <w:style w:type="character" w:customStyle="1" w:styleId="Ttulo1Car">
    <w:name w:val="Título 1 Car"/>
    <w:link w:val="Ttulo1"/>
    <w:uiPriority w:val="9"/>
    <w:rsid w:val="00E662E0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E662E0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E662E0"/>
    <w:rPr>
      <w:sz w:val="32"/>
      <w:szCs w:val="32"/>
      <w:lang w:val="es-ES"/>
    </w:rPr>
  </w:style>
  <w:style w:type="character" w:customStyle="1" w:styleId="TtuloCar">
    <w:name w:val="Título Car"/>
    <w:link w:val="Ttulo"/>
    <w:uiPriority w:val="10"/>
    <w:rsid w:val="00E662E0"/>
    <w:rPr>
      <w:b/>
      <w:bCs/>
      <w:color w:val="E4004B"/>
      <w:sz w:val="36"/>
      <w:szCs w:val="36"/>
      <w:lang w:val="es-ES"/>
    </w:rPr>
  </w:style>
  <w:style w:type="character" w:customStyle="1" w:styleId="SubttuloCar">
    <w:name w:val="Subtítulo Car"/>
    <w:link w:val="Subttulo"/>
    <w:uiPriority w:val="11"/>
    <w:rsid w:val="00E662E0"/>
    <w:rPr>
      <w:b/>
      <w:bCs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uiPriority w:val="99"/>
    <w:rsid w:val="005B7063"/>
  </w:style>
  <w:style w:type="character" w:customStyle="1" w:styleId="Textoindependiente2Car">
    <w:name w:val="Texto independiente 2 Car"/>
    <w:basedOn w:val="Fuentedeprrafopredeter"/>
    <w:uiPriority w:val="99"/>
    <w:rsid w:val="005B7063"/>
  </w:style>
  <w:style w:type="character" w:customStyle="1" w:styleId="Textoindependiente3Car">
    <w:name w:val="Texto independiente 3 Car"/>
    <w:basedOn w:val="Fuentedeprrafopredeter"/>
    <w:uiPriority w:val="99"/>
    <w:rsid w:val="005B7063"/>
    <w:rPr>
      <w:sz w:val="16"/>
      <w:szCs w:val="16"/>
    </w:rPr>
  </w:style>
  <w:style w:type="character" w:customStyle="1" w:styleId="TextomacroCar">
    <w:name w:val="Texto macro Car"/>
    <w:basedOn w:val="Fuentedeprrafopredeter"/>
    <w:uiPriority w:val="99"/>
    <w:rsid w:val="005B7063"/>
    <w:rPr>
      <w:rFonts w:ascii="Courier" w:hAnsi="Courier"/>
      <w:sz w:val="20"/>
      <w:szCs w:val="20"/>
    </w:rPr>
  </w:style>
  <w:style w:type="character" w:customStyle="1" w:styleId="CitaCar">
    <w:name w:val="Cita Car"/>
    <w:basedOn w:val="Fuentedeprrafopredeter"/>
    <w:uiPriority w:val="29"/>
    <w:rsid w:val="005B7063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uiPriority w:val="9"/>
    <w:semiHidden/>
    <w:rsid w:val="005B70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link w:val="Ttulo5"/>
    <w:uiPriority w:val="9"/>
    <w:rsid w:val="00E662E0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E662E0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uiPriority w:val="9"/>
    <w:semiHidden/>
    <w:rsid w:val="005B70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uiPriority w:val="9"/>
    <w:semiHidden/>
    <w:rsid w:val="005B70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uiPriority w:val="9"/>
    <w:semiHidden/>
    <w:rsid w:val="005B70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itadestacadaCar">
    <w:name w:val="Cita destacada Car"/>
    <w:basedOn w:val="Fuentedeprrafopredeter"/>
    <w:uiPriority w:val="30"/>
    <w:rsid w:val="005B7063"/>
    <w:rPr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E662E0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1">
    <w:name w:val="Encabezado Car1"/>
    <w:basedOn w:val="Fuentedeprrafopredeter"/>
    <w:uiPriority w:val="99"/>
    <w:rsid w:val="00CF5AFC"/>
    <w:rPr>
      <w:rFonts w:ascii="Arial" w:hAnsi="Arial"/>
      <w:sz w:val="19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E662E0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1">
    <w:name w:val="Pie de página Car1"/>
    <w:basedOn w:val="Fuentedeprrafopredeter"/>
    <w:uiPriority w:val="99"/>
    <w:rsid w:val="00CF5AFC"/>
    <w:rPr>
      <w:rFonts w:ascii="Arial" w:hAnsi="Arial"/>
      <w:sz w:val="19"/>
      <w:lang w:val="es-CO"/>
    </w:rPr>
  </w:style>
  <w:style w:type="paragraph" w:styleId="Revisin">
    <w:name w:val="Revision"/>
    <w:hidden/>
    <w:uiPriority w:val="99"/>
    <w:semiHidden/>
    <w:rsid w:val="001930C3"/>
    <w:pPr>
      <w:spacing w:after="0" w:line="240" w:lineRule="auto"/>
    </w:pPr>
    <w:rPr>
      <w:rFonts w:ascii="Arial" w:hAnsi="Arial"/>
      <w:sz w:val="19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E662E0"/>
    <w:pPr>
      <w:spacing w:after="240"/>
    </w:pPr>
    <w:rPr>
      <w:b/>
      <w:bCs/>
      <w:sz w:val="72"/>
      <w:szCs w:val="72"/>
    </w:rPr>
  </w:style>
  <w:style w:type="paragraph" w:styleId="Ttulo">
    <w:name w:val="Title"/>
    <w:basedOn w:val="Prrafodelista"/>
    <w:next w:val="Normal"/>
    <w:link w:val="TtuloCar"/>
    <w:autoRedefine/>
    <w:uiPriority w:val="10"/>
    <w:qFormat/>
    <w:rsid w:val="00E662E0"/>
    <w:pPr>
      <w:numPr>
        <w:ilvl w:val="2"/>
        <w:numId w:val="1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1">
    <w:name w:val="Título Car1"/>
    <w:basedOn w:val="Fuentedeprrafopredeter"/>
    <w:uiPriority w:val="10"/>
    <w:rsid w:val="00E662E0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E662E0"/>
  </w:style>
  <w:style w:type="character" w:customStyle="1" w:styleId="SubttuloCar1">
    <w:name w:val="Subtítulo Car1"/>
    <w:basedOn w:val="Fuentedeprrafopredeter"/>
    <w:uiPriority w:val="11"/>
    <w:rsid w:val="00E662E0"/>
    <w:rPr>
      <w:color w:val="5A5A5A" w:themeColor="text1" w:themeTint="A5"/>
      <w:spacing w:val="15"/>
      <w:lang w:val="es-ES"/>
    </w:rPr>
  </w:style>
  <w:style w:type="paragraph" w:styleId="Cita">
    <w:name w:val="Quote"/>
    <w:basedOn w:val="Normal"/>
    <w:next w:val="Normal"/>
    <w:link w:val="CitaCar1"/>
    <w:uiPriority w:val="29"/>
    <w:qFormat/>
    <w:rsid w:val="00E662E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1">
    <w:name w:val="Cita Car1"/>
    <w:basedOn w:val="Fuentedeprrafopredeter"/>
    <w:link w:val="Cita"/>
    <w:uiPriority w:val="29"/>
    <w:rsid w:val="00E662E0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paragraph" w:styleId="Citadestacada">
    <w:name w:val="Intense Quote"/>
    <w:basedOn w:val="Normal"/>
    <w:next w:val="Normal"/>
    <w:link w:val="CitadestacadaCar1"/>
    <w:uiPriority w:val="30"/>
    <w:qFormat/>
    <w:rsid w:val="00E66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1">
    <w:name w:val="Cita destacada Car1"/>
    <w:basedOn w:val="Fuentedeprrafopredeter"/>
    <w:link w:val="Citadestacada"/>
    <w:uiPriority w:val="30"/>
    <w:rsid w:val="00E662E0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paragraph" w:styleId="TDC1">
    <w:name w:val="toc 1"/>
    <w:basedOn w:val="Normal"/>
    <w:next w:val="Normal"/>
    <w:uiPriority w:val="39"/>
    <w:unhideWhenUsed/>
    <w:rsid w:val="00E662E0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E662E0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E662E0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E662E0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E662E0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E662E0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E662E0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E662E0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E662E0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662E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662E0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662E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662E0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E662E0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E662E0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E662E0"/>
    <w:rPr>
      <w:b/>
    </w:rPr>
  </w:style>
  <w:style w:type="character" w:customStyle="1" w:styleId="PreguntaCar">
    <w:name w:val="Pregunta Car"/>
    <w:basedOn w:val="SubttuloCar"/>
    <w:link w:val="Pregunta"/>
    <w:rsid w:val="00E662E0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E662E0"/>
    <w:pPr>
      <w:numPr>
        <w:numId w:val="11"/>
      </w:numPr>
    </w:pPr>
  </w:style>
  <w:style w:type="numbering" w:customStyle="1" w:styleId="Listaactual2">
    <w:name w:val="Lista actual2"/>
    <w:uiPriority w:val="99"/>
    <w:rsid w:val="00E662E0"/>
    <w:pPr>
      <w:numPr>
        <w:numId w:val="12"/>
      </w:numPr>
    </w:pPr>
  </w:style>
  <w:style w:type="numbering" w:customStyle="1" w:styleId="Listaactual3">
    <w:name w:val="Lista actual3"/>
    <w:uiPriority w:val="99"/>
    <w:rsid w:val="00E662E0"/>
    <w:pPr>
      <w:numPr>
        <w:numId w:val="13"/>
      </w:numPr>
    </w:pPr>
  </w:style>
  <w:style w:type="numbering" w:customStyle="1" w:styleId="Listaactual4">
    <w:name w:val="Lista actual4"/>
    <w:uiPriority w:val="99"/>
    <w:rsid w:val="00E662E0"/>
    <w:pPr>
      <w:numPr>
        <w:numId w:val="14"/>
      </w:numPr>
    </w:pPr>
  </w:style>
  <w:style w:type="numbering" w:customStyle="1" w:styleId="Listaactual5">
    <w:name w:val="Lista actual5"/>
    <w:uiPriority w:val="99"/>
    <w:rsid w:val="00E662E0"/>
    <w:pPr>
      <w:numPr>
        <w:numId w:val="15"/>
      </w:numPr>
    </w:pPr>
  </w:style>
  <w:style w:type="numbering" w:customStyle="1" w:styleId="Listaactual6">
    <w:name w:val="Lista actual6"/>
    <w:uiPriority w:val="99"/>
    <w:rsid w:val="00E662E0"/>
    <w:pPr>
      <w:numPr>
        <w:numId w:val="16"/>
      </w:numPr>
    </w:pPr>
  </w:style>
  <w:style w:type="numbering" w:customStyle="1" w:styleId="Listaactual7">
    <w:name w:val="Lista actual7"/>
    <w:uiPriority w:val="99"/>
    <w:rsid w:val="00E662E0"/>
    <w:pPr>
      <w:numPr>
        <w:numId w:val="17"/>
      </w:numPr>
    </w:pPr>
  </w:style>
  <w:style w:type="numbering" w:customStyle="1" w:styleId="Listaactual8">
    <w:name w:val="Lista actual8"/>
    <w:uiPriority w:val="99"/>
    <w:rsid w:val="00E662E0"/>
    <w:pPr>
      <w:numPr>
        <w:numId w:val="18"/>
      </w:numPr>
    </w:pPr>
  </w:style>
  <w:style w:type="numbering" w:customStyle="1" w:styleId="Listaactual9">
    <w:name w:val="Lista actual9"/>
    <w:uiPriority w:val="99"/>
    <w:rsid w:val="00E662E0"/>
    <w:pPr>
      <w:numPr>
        <w:numId w:val="19"/>
      </w:numPr>
    </w:pPr>
  </w:style>
  <w:style w:type="numbering" w:customStyle="1" w:styleId="Listaactual10">
    <w:name w:val="Lista actual10"/>
    <w:uiPriority w:val="99"/>
    <w:rsid w:val="00E662E0"/>
    <w:pPr>
      <w:numPr>
        <w:numId w:val="20"/>
      </w:numPr>
    </w:pPr>
  </w:style>
  <w:style w:type="numbering" w:customStyle="1" w:styleId="Listaactual11">
    <w:name w:val="Lista actual11"/>
    <w:uiPriority w:val="99"/>
    <w:rsid w:val="00E662E0"/>
    <w:pPr>
      <w:numPr>
        <w:numId w:val="21"/>
      </w:numPr>
    </w:pPr>
  </w:style>
  <w:style w:type="numbering" w:customStyle="1" w:styleId="Listaactual12">
    <w:name w:val="Lista actual12"/>
    <w:uiPriority w:val="99"/>
    <w:rsid w:val="00E662E0"/>
    <w:pPr>
      <w:numPr>
        <w:numId w:val="22"/>
      </w:numPr>
    </w:pPr>
  </w:style>
  <w:style w:type="numbering" w:customStyle="1" w:styleId="Listaactual13">
    <w:name w:val="Lista actual13"/>
    <w:uiPriority w:val="99"/>
    <w:rsid w:val="00E662E0"/>
    <w:pPr>
      <w:numPr>
        <w:numId w:val="23"/>
      </w:numPr>
    </w:pPr>
  </w:style>
  <w:style w:type="numbering" w:customStyle="1" w:styleId="Listaactual14">
    <w:name w:val="Lista actual14"/>
    <w:uiPriority w:val="99"/>
    <w:rsid w:val="00E662E0"/>
    <w:pPr>
      <w:numPr>
        <w:numId w:val="24"/>
      </w:numPr>
    </w:pPr>
  </w:style>
  <w:style w:type="numbering" w:customStyle="1" w:styleId="Listaactual15">
    <w:name w:val="Lista actual15"/>
    <w:uiPriority w:val="99"/>
    <w:rsid w:val="00E662E0"/>
    <w:pPr>
      <w:numPr>
        <w:numId w:val="25"/>
      </w:numPr>
    </w:pPr>
  </w:style>
  <w:style w:type="numbering" w:customStyle="1" w:styleId="Listaactual16">
    <w:name w:val="Lista actual16"/>
    <w:uiPriority w:val="99"/>
    <w:rsid w:val="00E662E0"/>
    <w:pPr>
      <w:numPr>
        <w:numId w:val="26"/>
      </w:numPr>
    </w:pPr>
  </w:style>
  <w:style w:type="numbering" w:customStyle="1" w:styleId="Listaactual17">
    <w:name w:val="Lista actual17"/>
    <w:uiPriority w:val="99"/>
    <w:rsid w:val="00E662E0"/>
    <w:pPr>
      <w:numPr>
        <w:numId w:val="27"/>
      </w:numPr>
    </w:pPr>
  </w:style>
  <w:style w:type="numbering" w:customStyle="1" w:styleId="Listaactual18">
    <w:name w:val="Lista actual18"/>
    <w:uiPriority w:val="99"/>
    <w:rsid w:val="00E662E0"/>
    <w:pPr>
      <w:numPr>
        <w:numId w:val="28"/>
      </w:numPr>
    </w:pPr>
  </w:style>
  <w:style w:type="numbering" w:customStyle="1" w:styleId="Listaactual19">
    <w:name w:val="Lista actual19"/>
    <w:uiPriority w:val="99"/>
    <w:rsid w:val="00E662E0"/>
    <w:pPr>
      <w:numPr>
        <w:numId w:val="30"/>
      </w:numPr>
    </w:pPr>
  </w:style>
  <w:style w:type="numbering" w:customStyle="1" w:styleId="Listaactual20">
    <w:name w:val="Lista actual20"/>
    <w:uiPriority w:val="99"/>
    <w:rsid w:val="00E662E0"/>
    <w:pPr>
      <w:numPr>
        <w:numId w:val="31"/>
      </w:numPr>
    </w:pPr>
  </w:style>
  <w:style w:type="numbering" w:customStyle="1" w:styleId="Listaactual21">
    <w:name w:val="Lista actual21"/>
    <w:uiPriority w:val="99"/>
    <w:rsid w:val="00E662E0"/>
    <w:pPr>
      <w:numPr>
        <w:numId w:val="32"/>
      </w:numPr>
    </w:pPr>
  </w:style>
  <w:style w:type="numbering" w:customStyle="1" w:styleId="Listaactual22">
    <w:name w:val="Lista actual22"/>
    <w:uiPriority w:val="99"/>
    <w:rsid w:val="00E662E0"/>
    <w:pPr>
      <w:numPr>
        <w:numId w:val="33"/>
      </w:numPr>
    </w:pPr>
  </w:style>
  <w:style w:type="numbering" w:customStyle="1" w:styleId="Listaactual23">
    <w:name w:val="Lista actual23"/>
    <w:uiPriority w:val="99"/>
    <w:rsid w:val="00E662E0"/>
    <w:pPr>
      <w:numPr>
        <w:numId w:val="34"/>
      </w:numPr>
    </w:pPr>
  </w:style>
  <w:style w:type="numbering" w:customStyle="1" w:styleId="Listaactual24">
    <w:name w:val="Lista actual24"/>
    <w:uiPriority w:val="99"/>
    <w:rsid w:val="00E662E0"/>
    <w:pPr>
      <w:numPr>
        <w:numId w:val="35"/>
      </w:numPr>
    </w:pPr>
  </w:style>
  <w:style w:type="numbering" w:customStyle="1" w:styleId="Listaactual25">
    <w:name w:val="Lista actual25"/>
    <w:uiPriority w:val="99"/>
    <w:rsid w:val="00E662E0"/>
    <w:pPr>
      <w:numPr>
        <w:numId w:val="36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E662E0"/>
  </w:style>
  <w:style w:type="numbering" w:customStyle="1" w:styleId="Listaactual26">
    <w:name w:val="Lista actual26"/>
    <w:uiPriority w:val="99"/>
    <w:rsid w:val="00E662E0"/>
    <w:pPr>
      <w:numPr>
        <w:numId w:val="37"/>
      </w:numPr>
    </w:pPr>
  </w:style>
  <w:style w:type="numbering" w:customStyle="1" w:styleId="Listaactual27">
    <w:name w:val="Lista actual27"/>
    <w:uiPriority w:val="99"/>
    <w:rsid w:val="00E662E0"/>
    <w:pPr>
      <w:numPr>
        <w:numId w:val="38"/>
      </w:numPr>
    </w:pPr>
  </w:style>
  <w:style w:type="numbering" w:customStyle="1" w:styleId="Listaactual28">
    <w:name w:val="Lista actual28"/>
    <w:uiPriority w:val="99"/>
    <w:rsid w:val="00E662E0"/>
    <w:pPr>
      <w:numPr>
        <w:numId w:val="39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E662E0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E662E0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1\Download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B22B7705-A6F8-4632-B2D5-6BB3AC63C0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DDC8F-FA79-4766-9286-43A79F03D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0D6538-1DAD-4952-BEDD-FEED38FBCA13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205</TotalTime>
  <Pages>3</Pages>
  <Words>954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Julián Rojas</cp:lastModifiedBy>
  <cp:revision>94</cp:revision>
  <dcterms:created xsi:type="dcterms:W3CDTF">2013-12-23T14:15:00Z</dcterms:created>
  <dcterms:modified xsi:type="dcterms:W3CDTF">2026-05-22T14:47:00Z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